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5A" w:rsidRDefault="002A54EC" w:rsidP="0098529A">
      <w:pPr>
        <w:spacing w:line="360" w:lineRule="auto"/>
        <w:rPr>
          <w:rFonts w:asciiTheme="majorEastAsia" w:eastAsiaTheme="majorEastAsia" w:hAnsiTheme="majorEastAsia" w:cs="宋体"/>
          <w:bCs/>
          <w:sz w:val="24"/>
        </w:rPr>
      </w:pPr>
      <w:r w:rsidRPr="002A54EC">
        <w:rPr>
          <w:rFonts w:asciiTheme="majorEastAsia" w:eastAsiaTheme="majorEastAsia" w:hAnsiTheme="majorEastAsia" w:cs="宋体" w:hint="eastAsia"/>
          <w:bCs/>
          <w:sz w:val="24"/>
        </w:rPr>
        <w:t>附件1：</w:t>
      </w:r>
      <w:r w:rsidR="0098529A">
        <w:rPr>
          <w:rFonts w:asciiTheme="majorEastAsia" w:eastAsiaTheme="majorEastAsia" w:hAnsiTheme="majorEastAsia" w:cs="宋体" w:hint="eastAsia"/>
          <w:bCs/>
          <w:sz w:val="24"/>
        </w:rPr>
        <w:t xml:space="preserve">     </w:t>
      </w:r>
    </w:p>
    <w:p w:rsidR="00F2245A" w:rsidRDefault="00D4543B" w:rsidP="00F2245A">
      <w:pPr>
        <w:spacing w:line="360" w:lineRule="auto"/>
        <w:ind w:firstLineChars="400" w:firstLine="1205"/>
        <w:rPr>
          <w:rFonts w:asciiTheme="majorEastAsia" w:eastAsiaTheme="majorEastAsia" w:hAnsiTheme="majorEastAsia"/>
          <w:sz w:val="18"/>
          <w:szCs w:val="18"/>
        </w:rPr>
      </w:pPr>
      <w:r w:rsidRPr="00C65EFA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三医院</w:t>
      </w:r>
      <w:r w:rsidR="003A3655" w:rsidRPr="003A3655">
        <w:rPr>
          <w:rFonts w:ascii="宋体" w:hAnsi="宋体" w:cs="宋体" w:hint="eastAsia"/>
          <w:b/>
          <w:bCs/>
          <w:sz w:val="30"/>
          <w:szCs w:val="30"/>
        </w:rPr>
        <w:t>监护仪二氧化碳模块</w:t>
      </w:r>
      <w:r w:rsidR="007173A1" w:rsidRPr="003A3655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采</w:t>
      </w:r>
      <w:r w:rsidR="007173A1" w:rsidRPr="00C65EFA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购</w:t>
      </w:r>
      <w:r w:rsidR="000D28F5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需求及</w:t>
      </w:r>
      <w:r w:rsidR="00833D0E" w:rsidRPr="00C65EFA">
        <w:rPr>
          <w:rFonts w:asciiTheme="majorEastAsia" w:eastAsiaTheme="majorEastAsia" w:hAnsiTheme="majorEastAsia" w:hint="eastAsia"/>
          <w:b/>
          <w:spacing w:val="20"/>
          <w:sz w:val="30"/>
          <w:szCs w:val="30"/>
        </w:rPr>
        <w:t>技术参数</w:t>
      </w:r>
      <w:r w:rsidR="00833D0E">
        <w:rPr>
          <w:rFonts w:asciiTheme="majorEastAsia" w:eastAsiaTheme="majorEastAsia" w:hAnsiTheme="majorEastAsia"/>
          <w:sz w:val="18"/>
          <w:szCs w:val="18"/>
        </w:rPr>
        <w:t xml:space="preserve"> </w:t>
      </w:r>
    </w:p>
    <w:p w:rsidR="00F2245A" w:rsidRPr="00F2245A" w:rsidRDefault="00F2245A" w:rsidP="00F2245A">
      <w:pPr>
        <w:pStyle w:val="a7"/>
        <w:spacing w:before="0" w:after="0" w:line="400" w:lineRule="exact"/>
        <w:ind w:firstLineChars="200" w:firstLine="48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一、产品需求：二氧化碳模块一个，用于同品牌监护仪</w:t>
      </w:r>
      <w:r w:rsidR="00E538C5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(迈瑞N17)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上使用，符合YY0601-2009标准。</w:t>
      </w:r>
    </w:p>
    <w:p w:rsidR="00F2245A" w:rsidRPr="00F2245A" w:rsidRDefault="00F2245A" w:rsidP="00F2245A">
      <w:pPr>
        <w:pStyle w:val="a7"/>
        <w:spacing w:before="0" w:after="0" w:line="400" w:lineRule="exact"/>
        <w:ind w:firstLineChars="200" w:firstLine="48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二、技术规格：</w:t>
      </w:r>
    </w:p>
    <w:p w:rsidR="00F2245A" w:rsidRPr="00F2245A" w:rsidRDefault="00F2245A" w:rsidP="00F2245A">
      <w:pPr>
        <w:pStyle w:val="a7"/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1、二氧化碳测量适用于成人、小儿和新生儿；</w:t>
      </w:r>
    </w:p>
    <w:p w:rsidR="00F2245A" w:rsidRPr="00F2245A" w:rsidRDefault="00F2245A" w:rsidP="00F2245A">
      <w:pPr>
        <w:pStyle w:val="a7"/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2、采用旁流二氧化碳的测量方法，对病人呼吸气道中的呼吸气体，采用恒定的采样流量进行采样，通过内置在模块内的 CO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  <w:vertAlign w:val="subscript"/>
        </w:rPr>
        <w:t>2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 xml:space="preserve"> 传感器对其进行分析；</w:t>
      </w:r>
    </w:p>
    <w:p w:rsidR="00F2245A" w:rsidRPr="00F2245A" w:rsidRDefault="00F2245A" w:rsidP="00F2245A">
      <w:pPr>
        <w:pStyle w:val="a7"/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3、窒息报警延迟：10s、15s、20s、25s、30s、35s、40s；</w:t>
      </w:r>
    </w:p>
    <w:p w:rsidR="00F2245A" w:rsidRPr="00F2245A" w:rsidRDefault="00F2245A" w:rsidP="00F2245A">
      <w:pPr>
        <w:pStyle w:val="a7"/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4、CO2 测量范围：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0 mmHg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～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152mmHg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5、精度：0mmHg～40mmHg：±2mmHg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spacing w:before="0" w:after="0" w:line="400" w:lineRule="exact"/>
        <w:ind w:firstLineChars="300" w:firstLine="7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41mmHg～76mmHg：±5％×读数；</w:t>
      </w:r>
    </w:p>
    <w:p w:rsidR="00F2245A" w:rsidRPr="00F2245A" w:rsidRDefault="00F2245A" w:rsidP="00F2245A">
      <w:pPr>
        <w:pStyle w:val="a7"/>
        <w:spacing w:before="0" w:after="0" w:line="400" w:lineRule="exact"/>
        <w:ind w:firstLineChars="300" w:firstLine="7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77mmHg～99mmHg：±10％×读数；</w:t>
      </w:r>
    </w:p>
    <w:p w:rsidR="00F2245A" w:rsidRPr="00F2245A" w:rsidRDefault="00F2245A" w:rsidP="00F2245A">
      <w:pPr>
        <w:pStyle w:val="a7"/>
        <w:spacing w:before="0" w:after="0" w:line="400" w:lineRule="exact"/>
        <w:ind w:firstLineChars="300" w:firstLine="7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100 mmHg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～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152 mmHg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±12％× 读数</w:t>
      </w:r>
      <w:r w:rsidR="00883268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测量精度漂移：在 6 小时内满足精度要求；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分辨率：1mmHg；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采样速率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仅使用 CO2 时，支持 50 ml/min ；配合 O2 时，支持 90ml/min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采样速率控制精度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设定值的±15%或±15ml/min，取大者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启动时间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90s（最大值）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响应时间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 xml:space="preserve">CO2旁流模式： 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&lt;4.5s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@90ml/min;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 xml:space="preserve"> &lt;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5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.5s</w:t>
      </w:r>
      <w:r w:rsidR="008952C0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@120ml/min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 xml:space="preserve">                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低流量模式：&lt;5s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@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5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0ml/min;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 xml:space="preserve"> &lt;6s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@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5</w:t>
      </w:r>
      <w:r w:rsidR="008952C0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0ml/min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上升时间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CO2旁流模式：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&lt;330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m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s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@90ml/min;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 xml:space="preserve"> &lt;3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0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0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m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s</w:t>
      </w:r>
      <w:r w:rsidR="008952C0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@120ml/min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 xml:space="preserve">               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 xml:space="preserve"> 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低流量模式：&lt;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20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0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m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s</w:t>
      </w:r>
      <w:r w:rsidR="008952C0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@50ml/min</w:t>
      </w:r>
      <w:r w:rsidR="008952C0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0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awRR测量范围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0rpm～1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5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0rpm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F2245A" w:rsidRDefault="00F2245A" w:rsidP="00F2245A">
      <w:pPr>
        <w:pStyle w:val="a7"/>
        <w:numPr>
          <w:ilvl w:val="0"/>
          <w:numId w:val="1"/>
        </w:numPr>
        <w:spacing w:before="0" w:after="0" w:line="400" w:lineRule="exact"/>
        <w:ind w:firstLine="422"/>
        <w:jc w:val="both"/>
        <w:rPr>
          <w:rFonts w:asciiTheme="minorEastAsia" w:eastAsiaTheme="minorEastAsia" w:hAnsiTheme="minorEastAsia" w:cs="仿宋"/>
          <w:b w:val="0"/>
          <w:bCs/>
          <w:color w:val="000000"/>
          <w:sz w:val="24"/>
        </w:rPr>
      </w:pP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awRR测量误差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：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>0rpm～60rpm：±1rpm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，</w:t>
      </w:r>
      <w:r w:rsidRPr="00F2245A">
        <w:rPr>
          <w:rFonts w:asciiTheme="minorEastAsia" w:eastAsiaTheme="minorEastAsia" w:hAnsiTheme="minorEastAsia" w:cs="仿宋"/>
          <w:b w:val="0"/>
          <w:bCs/>
          <w:color w:val="000000"/>
          <w:sz w:val="24"/>
        </w:rPr>
        <w:t xml:space="preserve"> 61rpm～150rpm：±2rpm</w:t>
      </w:r>
      <w:r w:rsidRPr="00F2245A">
        <w:rPr>
          <w:rFonts w:asciiTheme="minorEastAsia" w:eastAsiaTheme="minorEastAsia" w:hAnsiTheme="minorEastAsia" w:cs="仿宋" w:hint="eastAsia"/>
          <w:b w:val="0"/>
          <w:bCs/>
          <w:color w:val="000000"/>
          <w:sz w:val="24"/>
        </w:rPr>
        <w:t>；</w:t>
      </w:r>
    </w:p>
    <w:p w:rsidR="00F2245A" w:rsidRPr="00D85AD4" w:rsidRDefault="00A15E58" w:rsidP="00A15E58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仿宋" w:hint="eastAsia"/>
          <w:bCs/>
          <w:color w:val="000000"/>
          <w:sz w:val="24"/>
        </w:rPr>
        <w:t>15、</w:t>
      </w:r>
      <w:r w:rsidR="00F2245A" w:rsidRPr="00D85AD4">
        <w:rPr>
          <w:rFonts w:asciiTheme="minorEastAsia" w:eastAsiaTheme="minorEastAsia" w:hAnsiTheme="minorEastAsia" w:cs="仿宋"/>
          <w:bCs/>
          <w:color w:val="000000"/>
          <w:sz w:val="24"/>
        </w:rPr>
        <w:t>awRR分辨率</w:t>
      </w:r>
      <w:r w:rsidR="00F2245A" w:rsidRPr="00D85AD4">
        <w:rPr>
          <w:rFonts w:asciiTheme="minorEastAsia" w:eastAsiaTheme="minorEastAsia" w:hAnsiTheme="minorEastAsia" w:cs="仿宋" w:hint="eastAsia"/>
          <w:bCs/>
          <w:color w:val="000000"/>
          <w:sz w:val="24"/>
        </w:rPr>
        <w:t>：</w:t>
      </w:r>
      <w:r w:rsidR="00F2245A" w:rsidRPr="00D85AD4">
        <w:rPr>
          <w:rFonts w:asciiTheme="minorEastAsia" w:eastAsiaTheme="minorEastAsia" w:hAnsiTheme="minorEastAsia" w:cs="仿宋"/>
          <w:bCs/>
          <w:color w:val="000000"/>
          <w:sz w:val="24"/>
        </w:rPr>
        <w:t>1rpm</w:t>
      </w:r>
      <w:r w:rsidR="008952C0">
        <w:rPr>
          <w:rFonts w:asciiTheme="minorEastAsia" w:eastAsiaTheme="minorEastAsia" w:hAnsiTheme="minorEastAsia" w:cs="仿宋" w:hint="eastAsia"/>
          <w:bCs/>
          <w:color w:val="000000"/>
          <w:sz w:val="24"/>
        </w:rPr>
        <w:t>。</w:t>
      </w:r>
    </w:p>
    <w:p w:rsidR="00F2245A" w:rsidRDefault="00F2245A" w:rsidP="0098529A">
      <w:pPr>
        <w:rPr>
          <w:rFonts w:asciiTheme="majorEastAsia" w:eastAsiaTheme="majorEastAsia" w:hAnsiTheme="majorEastAsia"/>
        </w:rPr>
      </w:pPr>
    </w:p>
    <w:sectPr w:rsidR="00F2245A" w:rsidSect="00CC7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11D" w:rsidRDefault="00DA511D" w:rsidP="007173A1">
      <w:r>
        <w:separator/>
      </w:r>
    </w:p>
  </w:endnote>
  <w:endnote w:type="continuationSeparator" w:id="0">
    <w:p w:rsidR="00DA511D" w:rsidRDefault="00DA511D" w:rsidP="00717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11D" w:rsidRDefault="00DA511D" w:rsidP="007173A1">
      <w:r>
        <w:separator/>
      </w:r>
    </w:p>
  </w:footnote>
  <w:footnote w:type="continuationSeparator" w:id="0">
    <w:p w:rsidR="00DA511D" w:rsidRDefault="00DA511D" w:rsidP="007173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699C3"/>
    <w:multiLevelType w:val="singleLevel"/>
    <w:tmpl w:val="5D8699C3"/>
    <w:lvl w:ilvl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4ED"/>
    <w:rsid w:val="00015D71"/>
    <w:rsid w:val="00093DEA"/>
    <w:rsid w:val="000A2B8B"/>
    <w:rsid w:val="000A4AB0"/>
    <w:rsid w:val="000B4276"/>
    <w:rsid w:val="000C0F41"/>
    <w:rsid w:val="000D113B"/>
    <w:rsid w:val="000D28F5"/>
    <w:rsid w:val="000F07D7"/>
    <w:rsid w:val="00100EBD"/>
    <w:rsid w:val="001161A7"/>
    <w:rsid w:val="00163293"/>
    <w:rsid w:val="00176590"/>
    <w:rsid w:val="001A24BB"/>
    <w:rsid w:val="001C6BBF"/>
    <w:rsid w:val="001D29D9"/>
    <w:rsid w:val="00217A6C"/>
    <w:rsid w:val="002A2A03"/>
    <w:rsid w:val="002A54EC"/>
    <w:rsid w:val="002B0FBB"/>
    <w:rsid w:val="002C019D"/>
    <w:rsid w:val="002E5D2A"/>
    <w:rsid w:val="003A3655"/>
    <w:rsid w:val="003E137A"/>
    <w:rsid w:val="00476928"/>
    <w:rsid w:val="00500C7E"/>
    <w:rsid w:val="00510151"/>
    <w:rsid w:val="005468CB"/>
    <w:rsid w:val="00595BF7"/>
    <w:rsid w:val="005E2F33"/>
    <w:rsid w:val="005F09AE"/>
    <w:rsid w:val="00602B11"/>
    <w:rsid w:val="0064773F"/>
    <w:rsid w:val="00663F0B"/>
    <w:rsid w:val="006A5907"/>
    <w:rsid w:val="006A7EF4"/>
    <w:rsid w:val="007170ED"/>
    <w:rsid w:val="007173A1"/>
    <w:rsid w:val="00743446"/>
    <w:rsid w:val="00743F80"/>
    <w:rsid w:val="007C2906"/>
    <w:rsid w:val="007F2799"/>
    <w:rsid w:val="00812A51"/>
    <w:rsid w:val="00833D0E"/>
    <w:rsid w:val="008379A7"/>
    <w:rsid w:val="0085230B"/>
    <w:rsid w:val="0085485C"/>
    <w:rsid w:val="00861060"/>
    <w:rsid w:val="00872473"/>
    <w:rsid w:val="00877769"/>
    <w:rsid w:val="00883268"/>
    <w:rsid w:val="00883C7B"/>
    <w:rsid w:val="008952C0"/>
    <w:rsid w:val="008A6FE4"/>
    <w:rsid w:val="008C13FB"/>
    <w:rsid w:val="00906D76"/>
    <w:rsid w:val="00917925"/>
    <w:rsid w:val="0098529A"/>
    <w:rsid w:val="009A36D8"/>
    <w:rsid w:val="009B2DBC"/>
    <w:rsid w:val="009C23F2"/>
    <w:rsid w:val="009E44ED"/>
    <w:rsid w:val="00A15E58"/>
    <w:rsid w:val="00A76BA1"/>
    <w:rsid w:val="00AB18A7"/>
    <w:rsid w:val="00AC594C"/>
    <w:rsid w:val="00AE1C3A"/>
    <w:rsid w:val="00AF070D"/>
    <w:rsid w:val="00B40012"/>
    <w:rsid w:val="00B53DC1"/>
    <w:rsid w:val="00B61B56"/>
    <w:rsid w:val="00B91E54"/>
    <w:rsid w:val="00BD0DFA"/>
    <w:rsid w:val="00C13BCC"/>
    <w:rsid w:val="00C17330"/>
    <w:rsid w:val="00C24774"/>
    <w:rsid w:val="00C65EFA"/>
    <w:rsid w:val="00C67B03"/>
    <w:rsid w:val="00CA2291"/>
    <w:rsid w:val="00CC7BC7"/>
    <w:rsid w:val="00D4543B"/>
    <w:rsid w:val="00D85AD4"/>
    <w:rsid w:val="00D871C3"/>
    <w:rsid w:val="00D94560"/>
    <w:rsid w:val="00DA511D"/>
    <w:rsid w:val="00DC5ACF"/>
    <w:rsid w:val="00DC7D05"/>
    <w:rsid w:val="00DE2F92"/>
    <w:rsid w:val="00DF134A"/>
    <w:rsid w:val="00E17A85"/>
    <w:rsid w:val="00E224AD"/>
    <w:rsid w:val="00E538C5"/>
    <w:rsid w:val="00E92704"/>
    <w:rsid w:val="00EB3A0C"/>
    <w:rsid w:val="00EE145E"/>
    <w:rsid w:val="00F169F1"/>
    <w:rsid w:val="00F2245A"/>
    <w:rsid w:val="00F226D5"/>
    <w:rsid w:val="00F4036F"/>
    <w:rsid w:val="00F41FB6"/>
    <w:rsid w:val="00F44BB4"/>
    <w:rsid w:val="00F64803"/>
    <w:rsid w:val="00F80A03"/>
    <w:rsid w:val="00F941E2"/>
    <w:rsid w:val="00FA69B6"/>
    <w:rsid w:val="00FE6838"/>
    <w:rsid w:val="01B24798"/>
    <w:rsid w:val="10D3508F"/>
    <w:rsid w:val="150E0647"/>
    <w:rsid w:val="188F7A8F"/>
    <w:rsid w:val="1A1A2592"/>
    <w:rsid w:val="348869C4"/>
    <w:rsid w:val="5203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BC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CC7BC7"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semiHidden/>
    <w:qFormat/>
    <w:rsid w:val="00CC7BC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CC7B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Title"/>
    <w:basedOn w:val="a"/>
    <w:next w:val="a"/>
    <w:link w:val="Char2"/>
    <w:qFormat/>
    <w:locked/>
    <w:rsid w:val="00CC7BC7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CC7BC7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CC7BC7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CC7BC7"/>
    <w:pPr>
      <w:ind w:firstLineChars="200" w:firstLine="420"/>
    </w:pPr>
  </w:style>
  <w:style w:type="character" w:customStyle="1" w:styleId="Char">
    <w:name w:val="纯文本 Char"/>
    <w:basedOn w:val="a0"/>
    <w:link w:val="a3"/>
    <w:qFormat/>
    <w:rsid w:val="00CC7BC7"/>
    <w:rPr>
      <w:rFonts w:ascii="宋体" w:hAnsi="Courier New"/>
      <w:szCs w:val="20"/>
    </w:rPr>
  </w:style>
  <w:style w:type="character" w:customStyle="1" w:styleId="Char2">
    <w:name w:val="标题 Char"/>
    <w:basedOn w:val="a0"/>
    <w:link w:val="a6"/>
    <w:qFormat/>
    <w:rsid w:val="00CC7BC7"/>
    <w:rPr>
      <w:rFonts w:ascii="Calibri Light" w:hAnsi="Calibri Light"/>
      <w:b/>
      <w:bCs/>
      <w:kern w:val="2"/>
      <w:sz w:val="32"/>
      <w:szCs w:val="32"/>
    </w:rPr>
  </w:style>
  <w:style w:type="paragraph" w:customStyle="1" w:styleId="00">
    <w:name w:val="正文_0_0"/>
    <w:qFormat/>
    <w:rsid w:val="00CC7BC7"/>
    <w:pPr>
      <w:widowControl w:val="0"/>
      <w:jc w:val="both"/>
    </w:pPr>
    <w:rPr>
      <w:kern w:val="2"/>
      <w:sz w:val="21"/>
      <w:szCs w:val="22"/>
    </w:rPr>
  </w:style>
  <w:style w:type="paragraph" w:styleId="a7">
    <w:name w:val="Subtitle"/>
    <w:basedOn w:val="a"/>
    <w:link w:val="Char3"/>
    <w:qFormat/>
    <w:locked/>
    <w:rsid w:val="00F2245A"/>
    <w:pPr>
      <w:spacing w:before="240" w:after="6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character" w:customStyle="1" w:styleId="Char3">
    <w:name w:val="副标题 Char"/>
    <w:basedOn w:val="a0"/>
    <w:link w:val="a7"/>
    <w:rsid w:val="00F2245A"/>
    <w:rPr>
      <w:rFonts w:ascii="Arial" w:hAnsi="Arial"/>
      <w:b/>
      <w:kern w:val="28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邓颖欣</dc:creator>
  <cp:lastModifiedBy>蔡漩浪</cp:lastModifiedBy>
  <cp:revision>39</cp:revision>
  <dcterms:created xsi:type="dcterms:W3CDTF">2015-03-13T00:42:00Z</dcterms:created>
  <dcterms:modified xsi:type="dcterms:W3CDTF">2020-11-10T08:49:00Z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